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8F" w:rsidRPr="009C538F" w:rsidRDefault="009C538F" w:rsidP="009C538F">
      <w:pPr>
        <w:jc w:val="both"/>
        <w:rPr>
          <w:rFonts w:ascii="Times New Roman" w:hAnsi="Times New Roman" w:cs="Times New Roman"/>
          <w:b/>
          <w:color w:val="000000"/>
          <w:sz w:val="28"/>
          <w:szCs w:val="28"/>
          <w:shd w:val="clear" w:color="auto" w:fill="FFFFFF"/>
        </w:rPr>
      </w:pPr>
      <w:r w:rsidRPr="009C538F">
        <w:rPr>
          <w:rFonts w:ascii="Times New Roman" w:hAnsi="Times New Roman" w:cs="Times New Roman"/>
          <w:b/>
          <w:color w:val="000000"/>
          <w:sz w:val="28"/>
          <w:szCs w:val="28"/>
          <w:shd w:val="clear" w:color="auto" w:fill="FFFFFF"/>
        </w:rPr>
        <w:t xml:space="preserve">Medeni Usul Hukuku </w:t>
      </w:r>
    </w:p>
    <w:p w:rsidR="006A54DB" w:rsidRPr="009C538F" w:rsidRDefault="009C538F" w:rsidP="009C538F">
      <w:pPr>
        <w:ind w:firstLine="708"/>
        <w:jc w:val="both"/>
        <w:rPr>
          <w:rFonts w:ascii="Times New Roman" w:hAnsi="Times New Roman" w:cs="Times New Roman"/>
          <w:color w:val="000000"/>
          <w:sz w:val="28"/>
          <w:szCs w:val="28"/>
          <w:shd w:val="clear" w:color="auto" w:fill="FFFFFF"/>
        </w:rPr>
      </w:pPr>
      <w:r w:rsidRPr="009C538F">
        <w:rPr>
          <w:rFonts w:ascii="Times New Roman" w:hAnsi="Times New Roman" w:cs="Times New Roman"/>
          <w:color w:val="000000"/>
          <w:sz w:val="28"/>
          <w:szCs w:val="28"/>
          <w:shd w:val="clear" w:color="auto" w:fill="FFFFFF"/>
        </w:rPr>
        <w:t>Bu derste Hukuk Muhakemeleri Kanunu incelenmektedir. Bu bağlamda Hukuk mahkemelerinde görev ve yetki, dava kavramı, dava çeşitleri, davanın açılması, davanın tahkikatı, hükmün verilmesi, kanun yolları konuları incelenmektedir. Bununla birlikte tebligat hukuku, özel mahkemeler ve tahkim yolları üzerinde de durulmaktadır.</w:t>
      </w:r>
    </w:p>
    <w:p w:rsidR="009C538F" w:rsidRPr="009C538F" w:rsidRDefault="009C538F" w:rsidP="009C538F">
      <w:pPr>
        <w:jc w:val="both"/>
        <w:rPr>
          <w:rFonts w:ascii="Times New Roman" w:hAnsi="Times New Roman" w:cs="Times New Roman"/>
          <w:b/>
          <w:color w:val="000000"/>
          <w:sz w:val="28"/>
          <w:szCs w:val="28"/>
          <w:shd w:val="clear" w:color="auto" w:fill="FFFFFF"/>
        </w:rPr>
      </w:pPr>
    </w:p>
    <w:p w:rsidR="009C538F" w:rsidRPr="009C538F" w:rsidRDefault="00832878" w:rsidP="009C538F">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İcra ve İflas Hukuku</w:t>
      </w:r>
    </w:p>
    <w:p w:rsidR="009C538F" w:rsidRDefault="009C538F" w:rsidP="009C538F">
      <w:pPr>
        <w:ind w:firstLine="708"/>
        <w:jc w:val="both"/>
      </w:pPr>
      <w:r w:rsidRPr="009C538F">
        <w:rPr>
          <w:rFonts w:ascii="Times New Roman" w:hAnsi="Times New Roman" w:cs="Times New Roman"/>
          <w:color w:val="000000"/>
          <w:sz w:val="28"/>
          <w:szCs w:val="28"/>
          <w:shd w:val="clear" w:color="auto" w:fill="FFFFFF"/>
        </w:rPr>
        <w:t>Bu derste İcra ve iflas hukuku  hakkında genel bilgiler verilir. Bu bağlamda icra kavramı, cebri icra çeşitleri, icra organları, ilamsız icra ve bunun çeşitleri, ilamlı icra, kambiyo senetlerine mahsus haciz yolu, kiralanan taşınmazların ilamsız icra yolu ile tahliyesi, icra hukuku kapsamında açılabilecek davalar, icra harç ve giderleri, ihalenin yapılması ve feshi gibi konular ele alınmaktadır. Bu ders kapsamında iflas kavramı ,iflas organları, iflasa tabi olan kişiler, iflasta takip yolları, iflasın hukuksal sonuçları, iflas tasfiyesi konuları ele alınmaktadır. İflasın hangi aşamalardan geçilerek yapılabileceği ve prosedürü anlatılır.  Bunlara ek olarak tasarrufun iptali davası, konkordato ve iflas suçları da öğretilmektedir</w:t>
      </w:r>
      <w:r>
        <w:rPr>
          <w:rFonts w:ascii="Verdana" w:hAnsi="Verdana"/>
          <w:color w:val="000000"/>
          <w:sz w:val="17"/>
          <w:szCs w:val="17"/>
          <w:shd w:val="clear" w:color="auto" w:fill="FFFFFF"/>
        </w:rPr>
        <w:t>.</w:t>
      </w:r>
    </w:p>
    <w:sectPr w:rsidR="009C538F" w:rsidSect="006A54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538F"/>
    <w:rsid w:val="006A54DB"/>
    <w:rsid w:val="00832878"/>
    <w:rsid w:val="00855BF1"/>
    <w:rsid w:val="009C538F"/>
    <w:rsid w:val="009E18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2015-11-30T13:50:00Z</dcterms:created>
  <dcterms:modified xsi:type="dcterms:W3CDTF">2015-11-30T13:50:00Z</dcterms:modified>
</cp:coreProperties>
</file>